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330034" w:rsidRPr="003300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  <w:t>하나님에</w:t>
            </w:r>
            <w:r w:rsidRPr="00330034"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  <w:t>귀의하는듯한</w:t>
            </w:r>
            <w:r w:rsidRPr="00330034"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  <w:t>종교평화선언</w:t>
            </w:r>
            <w:r w:rsidRPr="00330034">
              <w:rPr>
                <w:rFonts w:ascii="Verdana" w:eastAsia="굴림" w:hAnsi="Verdana" w:cs="굴림"/>
                <w:b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330034" w:rsidRPr="003300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[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기고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] 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총무원장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스님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직권으로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폐기명령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해야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82C8C" w:rsidRDefault="00082C8C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1861"/>
      </w:tblGrid>
      <w:tr w:rsidR="00330034" w:rsidRPr="00330034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2011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년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10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월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16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(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 12:10:35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righ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법응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스님</w:t>
            </w: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30034" w:rsidRDefault="00330034">
      <w:pPr>
        <w:rPr>
          <w:rFonts w:hint="eastAsia"/>
        </w:rPr>
      </w:pPr>
    </w:p>
    <w:p w:rsidR="00330034" w:rsidRPr="00330034" w:rsidRDefault="00330034" w:rsidP="00330034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한국불교를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대표하는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풍전등화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같다는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밀려오는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두려움에서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장문의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글을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씁니다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결사추진본부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및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화쟁위원회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본부장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원로회의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교구본사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및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직할교구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중앙신도회를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비롯해서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종단의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조직을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순회하면서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불교인선언문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설명과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의견을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청취하나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홍보와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절차적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의미를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배제키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어렵습니다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종교평화선언문이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얼마나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교정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될지는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상태의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불교인선언문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초안을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내용적으로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때는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神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귀의하는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선언문일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수밖에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2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바티칸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공의회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(Nostra aetate)’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중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김남수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신부가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번역한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힌두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내용의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소개합니다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진하게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표시한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문장에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집중하시기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바랍니다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  <w:t>[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고금을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통하여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여러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민족들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사이에서는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변화와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인생의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역사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속에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현존하는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심오한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힘을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어느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정도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느껴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왔다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때로는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(1)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최고의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신이나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아버지를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긍정하였다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이같은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느낌과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긍정은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생활에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깊은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뜻을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부여한다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(2)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종교라는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것은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관련문화의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발전을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따라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세밀한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개념과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세련된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어법으로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인생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문제에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해답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주려고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애쓴다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예컨대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힌두교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인도교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사람들은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비밀을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탐구하여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한없이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풍부한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신화와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깊은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철학의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시도로써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표현되는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동시에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인생고에서의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해탈을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찾아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수덕생활이나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깊은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관상이나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신뢰와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사랑으로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신에게로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도피하고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(3)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불교에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있어서는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여러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학파에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따라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무상한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현세의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근본적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불완전성을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긍정하는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동시에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열심하고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신뢰하는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마음으로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완전한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해탈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상태에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이르든지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혹은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자신의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노력이나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위로부터의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도움에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의하여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최고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조명에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도달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가르친다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그밖에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전세계에서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종교들도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교리와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생활규범과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성스러운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예식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가르치며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여러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방법으로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인간의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마음이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느끼는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불안을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극복하려고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노력하며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제시한다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가톨릭교회는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발견되는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옳고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성스러운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아무것도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배척하지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않는다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(A)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그들의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생활과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행동의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양식뿐만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아니라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그들의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규율과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교리도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거짓없는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존경으로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살펴본다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그것이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주장하고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가르치는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것과는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여러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면에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서로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다르다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사람을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비추는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진리를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반영하는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일도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드물지는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않다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(4)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그리스도는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"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길이요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진리요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생명이시며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"(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요한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14,6)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안에서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사람들이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종교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생활의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풍족함을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발견하고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안에서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하느님께서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모든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것을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당신과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화해시키셨음을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(2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고린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5,18-19)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교회는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선포하고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있으며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반드시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선포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그러므로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(5)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교회는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다른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종교의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신봉자들과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더불어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지혜와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사랑으로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서로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대화하고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서로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협조하면서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lastRenderedPageBreak/>
        <w:t>그리스도교적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신앙과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생활을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증거하는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한편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안에서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발견되는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정신적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내지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윤리적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선과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사회적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내지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문화적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가치를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긍정하고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지키며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발전시키기를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모든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자녀들에게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권하는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바이다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.]</w:t>
      </w:r>
    </w:p>
    <w:tbl>
      <w:tblPr>
        <w:tblW w:w="52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8"/>
        <w:gridCol w:w="5040"/>
        <w:gridCol w:w="127"/>
      </w:tblGrid>
      <w:tr w:rsidR="00330034" w:rsidRPr="00330034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3171825" cy="3829050"/>
                  <wp:effectExtent l="19050" t="0" r="9525" b="0"/>
                  <wp:docPr id="1" name="그림 1" descr="http://www.bulkyo21.com/news/photo/201110/16362_10690_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ulkyo21.com/news/photo/201110/16362_10690_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330034" w:rsidRPr="00330034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Arial" w:eastAsia="굴림" w:hAnsi="Arial" w:cs="Arial"/>
                <w:color w:val="306F7F"/>
                <w:kern w:val="0"/>
                <w:sz w:val="18"/>
                <w:szCs w:val="18"/>
              </w:rPr>
              <w:t>▲</w:t>
            </w:r>
            <w:r w:rsidRPr="00330034">
              <w:rPr>
                <w:rFonts w:ascii="Verdana" w:eastAsia="굴림" w:hAnsi="Verdana" w:cs="Verdana"/>
                <w:color w:val="306F7F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리우데자네이루에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있는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구세주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그리스도상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.(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출처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: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위키백과</w:t>
            </w:r>
            <w:r w:rsidRPr="00330034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)</w:t>
            </w:r>
          </w:p>
        </w:tc>
      </w:tr>
    </w:tbl>
    <w:p w:rsidR="00330034" w:rsidRPr="00330034" w:rsidRDefault="00330034" w:rsidP="00330034">
      <w:pPr>
        <w:widowControl/>
        <w:wordWrap/>
        <w:autoSpaceDE/>
        <w:autoSpaceDN/>
        <w:spacing w:before="100" w:beforeAutospacing="1" w:after="240" w:line="300" w:lineRule="atLeast"/>
        <w:jc w:val="lef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(1)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문장은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때로는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이라는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양보성의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수식이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있으나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문화가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상이해도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하느님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神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긍정했다고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주장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  <w:t>(2)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문장은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필요성과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고귀성을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설명하나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긍정하고자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내용으로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보아야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  <w:t>(3)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쪼개진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학파로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규정하고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무상한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현세의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근본적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불완전성을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긍정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”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현실정토를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부정하고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국가만이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완전함을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의도하고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위로부터의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이라며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절대자를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긍정하는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은연중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설명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있다고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보아야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  <w:t>(4)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성경을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인용해서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힌두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안에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가두는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의도라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  <w:t>(5)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종교와의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대화가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신앙과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생활을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증거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활동임을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규정해서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평신도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하여금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종교인과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서슴없는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교류로서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자세를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견지토록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살피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건데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(A)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문장에서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타종교를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거짓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존경한다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아니라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거짓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존경으로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살펴본다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.’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철저히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및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주관적임을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스스로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벽을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허물은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양상을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취한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듯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하지만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우월성을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강조해서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포교를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전략적인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문장과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의도로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해석해야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2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바티칸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공의회의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ㅇ가톨릭의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21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세기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선교방향에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효과적으로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작용한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,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창조자로서의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보편적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인식화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성공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ㅇ수많은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평신도들이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문화권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해외선교에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참여하는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동기의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ㅇ비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lastRenderedPageBreak/>
        <w:t>그리스도교의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신자들을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갈라진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형제들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칭하며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일치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및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연합화에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성공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ㅇ교회의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다양성과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포용성을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공포해서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문화권을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흡수하고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저항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및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거부감을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사라지게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효과가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얼마나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무서운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선언인지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묘하게도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60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년대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성당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같다는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말이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유행해서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현재에도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회자되고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성당에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제사도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지내게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한다며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국민의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거부감이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사라지는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동시에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호응도가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높아졌음은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구차한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설명이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필요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화쟁위원회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/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결사추진본부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제아무리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종교계의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협력을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이끌어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평화를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선언문이나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법률을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제정하는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가시적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효과를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창출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상태대로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간다면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기조는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2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바티칸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공의회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신학적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종교다원주의의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교본인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바아르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(Baar Statement)’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부응하는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것으로서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티끌만치도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손해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없음을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깨달아야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화쟁위원회는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불교인선언문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2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바티칸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공의회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신학적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종교다원주의의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교본인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바아르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내용적으로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궤를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같이한다는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본납의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공개주장에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이론적으로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반박해야만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앞장서서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세계복음화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전략에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찬동하는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일을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하려는지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이해가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단체적으로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최면이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걸리지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않고서야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발생할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일이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총무원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청사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안에서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발생하고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총무원장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스님을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모신자리에서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스님과의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토론을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요청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상태의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얼마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종교계가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유사한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발표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그야말로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로부터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앉아서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항복문서를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받는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다르지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않음을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확신하는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종교계가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추진하는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평화선언과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관련한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활동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협력할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그러나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당장은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쾌재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깊숙한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곳에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감추고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사회평화에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기여한다면서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담담하고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품위있게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반응할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그러나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시간이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지날수록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은밀하고도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자연스럽게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한국불교계가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소위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진리관이라는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자세로서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인정했다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자명합니다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근간을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흔드는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현실이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닥치고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총무원장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자승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초안을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폐기하고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원점에서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출발하라고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스님에게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직권명령을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내리셔야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상황과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진행이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33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집행부가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들어서고서부터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발생한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일들로서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어찌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이해해야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하는지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도무지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갈피가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잡히지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않습니다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몇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편의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글로서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바아르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설명과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소위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비교설명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바아르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문화와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표현만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다르지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神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밑에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존재한다는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주장임을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거듭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강조합니다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물론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‘21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세기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아쇼카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그러하기에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문제입니다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외교인을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소개합니다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기도문의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내용에서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보듯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외교인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즉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종교인들을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하느님에게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구원해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달라는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즉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외교인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기독교인화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해달라는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외교인을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위한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기도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’ </w:t>
      </w:r>
    </w:p>
    <w:tbl>
      <w:tblPr>
        <w:tblW w:w="2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980"/>
        <w:gridCol w:w="135"/>
      </w:tblGrid>
      <w:tr w:rsidR="00330034" w:rsidRPr="00330034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1238250" cy="1552575"/>
                  <wp:effectExtent l="19050" t="0" r="0" b="0"/>
                  <wp:docPr id="2" name="그림 2" descr="http://www.bulkyo21.com/news/photo/201110/16362_10689_1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ulkyo21.com/news/photo/201110/16362_10689_1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30034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330034" w:rsidRPr="00330034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0034" w:rsidRPr="00330034" w:rsidRDefault="00330034" w:rsidP="00330034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</w:tbl>
    <w:p w:rsidR="00330034" w:rsidRPr="00330034" w:rsidRDefault="00330034" w:rsidP="00330034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뭇나라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백성들아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찬미하라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온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세상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사람들아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찬양하라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사랑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우리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위에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꿋꿋하셔라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진실하심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영원하셔라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알렐루야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영광이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성부와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성자와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성령께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처음과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같이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이제와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항상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영원히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아멘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기도를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들어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주소서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부르짖음이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이르게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하소서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기도합시다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전능하시고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영원하신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하느님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죄인의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죽음을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원치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않으시고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회개하여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살기를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원하시는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하느님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비오니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우리의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기도를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들으시고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외교인을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구원하시어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그들로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하여금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그릇된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생각과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허황된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행위를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끊어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버리고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천주의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백성이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되어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영광스러이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주님의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이름을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찬송케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하소서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우리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그리스도를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통하여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비나이다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아멘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(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「가톨릭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기도서」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, 79-80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쪽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)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이러한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연속적으로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암송해서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종교인들을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앞에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세우려는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마음의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자세를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공고히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있음을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준비하는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화쟁위원회의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관계자들은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반드시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인지해야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평화가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우리의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현실에서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정착되게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하려면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외교인을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유사한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폐기하라고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주문하는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순서입니다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종교인들은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불자들을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천주의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백성이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되라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기도하는데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개종의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포기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자멸을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재촉함이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아니고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무엇인지요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?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당부하노니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화쟁위원회의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관계자들은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첫째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2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바티칸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공의회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종교다원주의에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제대로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연구를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당부합니다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둘째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.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바아르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모르고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했다면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무지이며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알고서도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했다면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훼불의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lastRenderedPageBreak/>
        <w:t>자행이라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있습니다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그야말로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자세에서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바아르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국민의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복음화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전략에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연구를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바랍니다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셋째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한국불교를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대표한다는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현실과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승려들의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낱낱을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냉철하게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바랍니다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걸출한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승려나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학자를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찾을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현실에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우월성을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주장함은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만용임을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넷째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봉은사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법당에서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훼불하고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측에서는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고고한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사과하며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유도하고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품위있게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행동하는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분명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神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충실한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사도임을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바랍니다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다섯째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연구합니다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신부가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박사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학위를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취득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승려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중에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전문적으로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연구하거나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동향을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전문적으로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연구하는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불교기관이나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승려가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사실상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전무한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현실에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종단의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중진은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두려워해야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여섯째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, 2013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벡스코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(BEXCO)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에서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개최되는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신학적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종교다원주의의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WCC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10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차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총회가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중심지인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부산과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경상권에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어떠한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영향을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것인지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냉철하게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분석바라며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여기에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진리관을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선포하고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참여할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정체성을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잃고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그들에게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흡수당한다는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깨닫기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바랍니다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결사추진본부장인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스님이야말로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자세라면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순회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공청회를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아니라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불교계의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분야별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전문직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승려와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학자들을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중심으로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종교평화선언문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수정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위원회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구성해서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문제의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내용들을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고치는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작업을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마땅합니다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가톨릭이나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개신교측이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열린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진리관을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앞세워서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神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)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앞으로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헤쳐모여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하는데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앞으로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달려가는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우리는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과연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어떠한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존재들인가요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?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  <w:t>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!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우리를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부르시는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하나님의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음성을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분명히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듣게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하옵시고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순종하는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삶을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살게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하옵소서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.’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이러한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기도에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부응하려하는지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도무지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수가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없습니다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한국사회에서의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화해는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필요합니다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조계종이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이를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앞장서서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해소하려는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노력은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평가할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만하나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종단기구가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종헌에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기본적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책임감과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승려로서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본분사를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우선적으로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염두하고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시야의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폭을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깊고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넓게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잡아야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무엇보다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사부대중은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알아야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합니다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기독교계가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주장하는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종교다원주의는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진정한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의미의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다원주의가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아니며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포괄주의와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모양세만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결과적으로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한국불교에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그리스도교화를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목적으로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한다는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것을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말입니다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다원주의의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본래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의미와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정신은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그런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것이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아닙니다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</w:p>
    <w:p w:rsidR="00330034" w:rsidRPr="00330034" w:rsidRDefault="00330034" w:rsidP="00330034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거룩하신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부처님과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그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위대한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가르침에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귀명의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자세로서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존경과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참회를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합니다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서에서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온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큰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가르침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땅에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내려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1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천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7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백여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면면하더니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작금에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이르러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조선시대의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정치적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억불보다도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더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큰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위기를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맞고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있습니다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어찌해야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좋을지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모르겠습니다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!!!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  <w:szCs w:val="18"/>
        </w:rPr>
        <w:br/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나무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,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불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법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. 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>승</w:t>
      </w:r>
      <w:r w:rsidRPr="00330034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</w:p>
    <w:p w:rsidR="00330034" w:rsidRPr="00330034" w:rsidRDefault="00330034" w:rsidP="00330034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lastRenderedPageBreak/>
        <w:t>/ /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法應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불교사회정책연구소</w:t>
      </w:r>
      <w:r w:rsidRPr="00330034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</w:p>
    <w:p w:rsidR="00330034" w:rsidRDefault="00330034">
      <w:pPr>
        <w:rPr>
          <w:rFonts w:hint="eastAsia"/>
        </w:rPr>
      </w:pPr>
      <w:r w:rsidRPr="00330034">
        <w:t>http://www.bulkyo21.com/news/articleView.html?idxno=16362</w:t>
      </w:r>
    </w:p>
    <w:p w:rsidR="00330034" w:rsidRDefault="00330034">
      <w:pPr>
        <w:rPr>
          <w:rFonts w:hint="eastAsia"/>
        </w:rPr>
      </w:pPr>
    </w:p>
    <w:p w:rsidR="00330034" w:rsidRDefault="00330034">
      <w:pPr>
        <w:rPr>
          <w:rFonts w:hint="eastAsia"/>
        </w:rPr>
      </w:pPr>
    </w:p>
    <w:p w:rsidR="00330034" w:rsidRDefault="00330034">
      <w:pPr>
        <w:rPr>
          <w:rFonts w:hint="eastAsia"/>
        </w:rPr>
      </w:pPr>
      <w:r>
        <w:rPr>
          <w:rFonts w:hint="eastAsia"/>
        </w:rPr>
        <w:t>불교포커스</w:t>
      </w:r>
    </w:p>
    <w:p w:rsidR="00330034" w:rsidRDefault="00330034">
      <w:pPr>
        <w:rPr>
          <w:rFonts w:hint="eastAsia"/>
        </w:rPr>
      </w:pPr>
    </w:p>
    <w:p w:rsidR="00330034" w:rsidRDefault="00330034"/>
    <w:sectPr w:rsidR="00330034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30034"/>
    <w:rsid w:val="00000E24"/>
    <w:rsid w:val="000066A3"/>
    <w:rsid w:val="00006A42"/>
    <w:rsid w:val="000124FE"/>
    <w:rsid w:val="00013100"/>
    <w:rsid w:val="00013B87"/>
    <w:rsid w:val="00015FC3"/>
    <w:rsid w:val="00016EBA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0CB1"/>
    <w:rsid w:val="000623B2"/>
    <w:rsid w:val="00071276"/>
    <w:rsid w:val="000717F3"/>
    <w:rsid w:val="00073EA7"/>
    <w:rsid w:val="000740FE"/>
    <w:rsid w:val="00075562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0B01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A79"/>
    <w:rsid w:val="000F2C05"/>
    <w:rsid w:val="000F2EAE"/>
    <w:rsid w:val="000F43FD"/>
    <w:rsid w:val="000F73DF"/>
    <w:rsid w:val="00100182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37734"/>
    <w:rsid w:val="00140F66"/>
    <w:rsid w:val="00143A13"/>
    <w:rsid w:val="00144759"/>
    <w:rsid w:val="0014519D"/>
    <w:rsid w:val="00152CAF"/>
    <w:rsid w:val="00160A2B"/>
    <w:rsid w:val="00161E64"/>
    <w:rsid w:val="001712F7"/>
    <w:rsid w:val="001718A2"/>
    <w:rsid w:val="001750B2"/>
    <w:rsid w:val="00175836"/>
    <w:rsid w:val="00175A2D"/>
    <w:rsid w:val="00175C97"/>
    <w:rsid w:val="001867A5"/>
    <w:rsid w:val="00191AF9"/>
    <w:rsid w:val="001921E1"/>
    <w:rsid w:val="00192883"/>
    <w:rsid w:val="001950B7"/>
    <w:rsid w:val="00195DB5"/>
    <w:rsid w:val="00196372"/>
    <w:rsid w:val="00196598"/>
    <w:rsid w:val="001A438E"/>
    <w:rsid w:val="001A4F7E"/>
    <w:rsid w:val="001B07CA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4EDD"/>
    <w:rsid w:val="001F7288"/>
    <w:rsid w:val="001F74AC"/>
    <w:rsid w:val="00203678"/>
    <w:rsid w:val="00204742"/>
    <w:rsid w:val="00205593"/>
    <w:rsid w:val="002105D4"/>
    <w:rsid w:val="002119DC"/>
    <w:rsid w:val="00222453"/>
    <w:rsid w:val="0022266D"/>
    <w:rsid w:val="00222EAE"/>
    <w:rsid w:val="0022313C"/>
    <w:rsid w:val="0022547F"/>
    <w:rsid w:val="0022650B"/>
    <w:rsid w:val="00226E44"/>
    <w:rsid w:val="002303A2"/>
    <w:rsid w:val="002354E7"/>
    <w:rsid w:val="0023589F"/>
    <w:rsid w:val="00236EDC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5067C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0D9"/>
    <w:rsid w:val="002B0F45"/>
    <w:rsid w:val="002B1B8E"/>
    <w:rsid w:val="002B3645"/>
    <w:rsid w:val="002C52F9"/>
    <w:rsid w:val="002C5FE8"/>
    <w:rsid w:val="002C6246"/>
    <w:rsid w:val="002C6633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1576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207"/>
    <w:rsid w:val="00325359"/>
    <w:rsid w:val="00325E1D"/>
    <w:rsid w:val="0032790B"/>
    <w:rsid w:val="00330034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4D06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C7B01"/>
    <w:rsid w:val="003D1017"/>
    <w:rsid w:val="003D2E8D"/>
    <w:rsid w:val="003D54F9"/>
    <w:rsid w:val="003D7A8E"/>
    <w:rsid w:val="003E30D6"/>
    <w:rsid w:val="003E40CF"/>
    <w:rsid w:val="003E6F4D"/>
    <w:rsid w:val="003F4715"/>
    <w:rsid w:val="003F683D"/>
    <w:rsid w:val="003F68C0"/>
    <w:rsid w:val="004003BB"/>
    <w:rsid w:val="004058D7"/>
    <w:rsid w:val="00406E1F"/>
    <w:rsid w:val="00411455"/>
    <w:rsid w:val="004144F6"/>
    <w:rsid w:val="00415ECA"/>
    <w:rsid w:val="00416981"/>
    <w:rsid w:val="00420BBB"/>
    <w:rsid w:val="004264B9"/>
    <w:rsid w:val="0043053D"/>
    <w:rsid w:val="00430A27"/>
    <w:rsid w:val="00433300"/>
    <w:rsid w:val="004371B2"/>
    <w:rsid w:val="00441722"/>
    <w:rsid w:val="00441908"/>
    <w:rsid w:val="004424A0"/>
    <w:rsid w:val="004501F6"/>
    <w:rsid w:val="00450AF2"/>
    <w:rsid w:val="00450D58"/>
    <w:rsid w:val="004523A6"/>
    <w:rsid w:val="0045361A"/>
    <w:rsid w:val="00455ADC"/>
    <w:rsid w:val="00465569"/>
    <w:rsid w:val="004661F9"/>
    <w:rsid w:val="00472949"/>
    <w:rsid w:val="0047360A"/>
    <w:rsid w:val="00475A36"/>
    <w:rsid w:val="00482CF9"/>
    <w:rsid w:val="0049031B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1275"/>
    <w:rsid w:val="004D325D"/>
    <w:rsid w:val="004D42F4"/>
    <w:rsid w:val="004D607F"/>
    <w:rsid w:val="004E1338"/>
    <w:rsid w:val="004E21F7"/>
    <w:rsid w:val="004E2561"/>
    <w:rsid w:val="004E28E9"/>
    <w:rsid w:val="004E3A06"/>
    <w:rsid w:val="004E3A18"/>
    <w:rsid w:val="004E549A"/>
    <w:rsid w:val="004E6B07"/>
    <w:rsid w:val="004F16F7"/>
    <w:rsid w:val="004F4829"/>
    <w:rsid w:val="00500959"/>
    <w:rsid w:val="00501269"/>
    <w:rsid w:val="00501A39"/>
    <w:rsid w:val="00501BD4"/>
    <w:rsid w:val="00502F31"/>
    <w:rsid w:val="00503FB7"/>
    <w:rsid w:val="00505E3C"/>
    <w:rsid w:val="00506FD5"/>
    <w:rsid w:val="0050775A"/>
    <w:rsid w:val="00513800"/>
    <w:rsid w:val="00513814"/>
    <w:rsid w:val="0051772F"/>
    <w:rsid w:val="005221BD"/>
    <w:rsid w:val="005236BB"/>
    <w:rsid w:val="00537684"/>
    <w:rsid w:val="00542F8A"/>
    <w:rsid w:val="00543597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765A3"/>
    <w:rsid w:val="00576CA2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4CD4"/>
    <w:rsid w:val="005A50F3"/>
    <w:rsid w:val="005A6BC4"/>
    <w:rsid w:val="005B1A3B"/>
    <w:rsid w:val="005C26DA"/>
    <w:rsid w:val="005C312F"/>
    <w:rsid w:val="005C439F"/>
    <w:rsid w:val="005C5271"/>
    <w:rsid w:val="005C58DC"/>
    <w:rsid w:val="005D097A"/>
    <w:rsid w:val="005D7053"/>
    <w:rsid w:val="005E00B6"/>
    <w:rsid w:val="005E0695"/>
    <w:rsid w:val="005E4178"/>
    <w:rsid w:val="005E79B8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20799"/>
    <w:rsid w:val="00634CF3"/>
    <w:rsid w:val="00635074"/>
    <w:rsid w:val="00635474"/>
    <w:rsid w:val="00636604"/>
    <w:rsid w:val="00637514"/>
    <w:rsid w:val="00644990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2521"/>
    <w:rsid w:val="006A531B"/>
    <w:rsid w:val="006A7103"/>
    <w:rsid w:val="006A7994"/>
    <w:rsid w:val="006B32F5"/>
    <w:rsid w:val="006B43C0"/>
    <w:rsid w:val="006B56D0"/>
    <w:rsid w:val="006C2192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0884"/>
    <w:rsid w:val="00703244"/>
    <w:rsid w:val="00705275"/>
    <w:rsid w:val="00706021"/>
    <w:rsid w:val="00706084"/>
    <w:rsid w:val="00714060"/>
    <w:rsid w:val="00715D6B"/>
    <w:rsid w:val="00717A65"/>
    <w:rsid w:val="00721A01"/>
    <w:rsid w:val="00722DFE"/>
    <w:rsid w:val="00723179"/>
    <w:rsid w:val="00723FEA"/>
    <w:rsid w:val="007248A2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71C82"/>
    <w:rsid w:val="00773956"/>
    <w:rsid w:val="0077634B"/>
    <w:rsid w:val="007776EF"/>
    <w:rsid w:val="007777D4"/>
    <w:rsid w:val="0078268F"/>
    <w:rsid w:val="00783460"/>
    <w:rsid w:val="007905B0"/>
    <w:rsid w:val="00791292"/>
    <w:rsid w:val="007920AC"/>
    <w:rsid w:val="007920CC"/>
    <w:rsid w:val="007964BB"/>
    <w:rsid w:val="00796B91"/>
    <w:rsid w:val="007973ED"/>
    <w:rsid w:val="007A1928"/>
    <w:rsid w:val="007A3EFD"/>
    <w:rsid w:val="007A4BF6"/>
    <w:rsid w:val="007A6129"/>
    <w:rsid w:val="007B2150"/>
    <w:rsid w:val="007B319D"/>
    <w:rsid w:val="007B5C74"/>
    <w:rsid w:val="007C0258"/>
    <w:rsid w:val="007C07EA"/>
    <w:rsid w:val="007C0C32"/>
    <w:rsid w:val="007C1994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E6121"/>
    <w:rsid w:val="007E70E1"/>
    <w:rsid w:val="007E77AD"/>
    <w:rsid w:val="007F17C0"/>
    <w:rsid w:val="007F1B6E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2AAF"/>
    <w:rsid w:val="008130CD"/>
    <w:rsid w:val="00814AC8"/>
    <w:rsid w:val="00831061"/>
    <w:rsid w:val="0083150E"/>
    <w:rsid w:val="0083257B"/>
    <w:rsid w:val="0083518D"/>
    <w:rsid w:val="00835F9B"/>
    <w:rsid w:val="00837F8C"/>
    <w:rsid w:val="00845761"/>
    <w:rsid w:val="00851B57"/>
    <w:rsid w:val="00852F3C"/>
    <w:rsid w:val="0085363A"/>
    <w:rsid w:val="00856AE6"/>
    <w:rsid w:val="00861F75"/>
    <w:rsid w:val="00863128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5CEB"/>
    <w:rsid w:val="008B632C"/>
    <w:rsid w:val="008B72CF"/>
    <w:rsid w:val="008C0DC8"/>
    <w:rsid w:val="008C4689"/>
    <w:rsid w:val="008D2897"/>
    <w:rsid w:val="008D51F4"/>
    <w:rsid w:val="008D7980"/>
    <w:rsid w:val="008E1927"/>
    <w:rsid w:val="008E35F4"/>
    <w:rsid w:val="008E3C7B"/>
    <w:rsid w:val="008E713C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263B"/>
    <w:rsid w:val="0094345D"/>
    <w:rsid w:val="0094508F"/>
    <w:rsid w:val="00945A4E"/>
    <w:rsid w:val="00945B5F"/>
    <w:rsid w:val="00946A94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CC5"/>
    <w:rsid w:val="00984410"/>
    <w:rsid w:val="009852BF"/>
    <w:rsid w:val="00987272"/>
    <w:rsid w:val="00987DB9"/>
    <w:rsid w:val="00987E90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1174"/>
    <w:rsid w:val="00A71D7D"/>
    <w:rsid w:val="00A83879"/>
    <w:rsid w:val="00A952DD"/>
    <w:rsid w:val="00A97BF9"/>
    <w:rsid w:val="00AA2128"/>
    <w:rsid w:val="00AA2CE9"/>
    <w:rsid w:val="00AA7F53"/>
    <w:rsid w:val="00AB11CA"/>
    <w:rsid w:val="00AB4BEA"/>
    <w:rsid w:val="00AC1202"/>
    <w:rsid w:val="00AC1B4C"/>
    <w:rsid w:val="00AC4D58"/>
    <w:rsid w:val="00AC5E60"/>
    <w:rsid w:val="00AD051D"/>
    <w:rsid w:val="00AD1B83"/>
    <w:rsid w:val="00AD3262"/>
    <w:rsid w:val="00AE3E1A"/>
    <w:rsid w:val="00AE58E4"/>
    <w:rsid w:val="00AE639D"/>
    <w:rsid w:val="00AE65D9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5176"/>
    <w:rsid w:val="00B16165"/>
    <w:rsid w:val="00B16CEC"/>
    <w:rsid w:val="00B21DAA"/>
    <w:rsid w:val="00B24718"/>
    <w:rsid w:val="00B25B26"/>
    <w:rsid w:val="00B25EF3"/>
    <w:rsid w:val="00B26310"/>
    <w:rsid w:val="00B32C7C"/>
    <w:rsid w:val="00B36CFB"/>
    <w:rsid w:val="00B40604"/>
    <w:rsid w:val="00B40A3F"/>
    <w:rsid w:val="00B42428"/>
    <w:rsid w:val="00B52134"/>
    <w:rsid w:val="00B5291B"/>
    <w:rsid w:val="00B60E8E"/>
    <w:rsid w:val="00B6197B"/>
    <w:rsid w:val="00B63D3B"/>
    <w:rsid w:val="00B65819"/>
    <w:rsid w:val="00B659D5"/>
    <w:rsid w:val="00B66EFE"/>
    <w:rsid w:val="00B745DD"/>
    <w:rsid w:val="00B75330"/>
    <w:rsid w:val="00B76CC7"/>
    <w:rsid w:val="00B81BD8"/>
    <w:rsid w:val="00B82DC4"/>
    <w:rsid w:val="00B84987"/>
    <w:rsid w:val="00B862EB"/>
    <w:rsid w:val="00B87BBE"/>
    <w:rsid w:val="00B92306"/>
    <w:rsid w:val="00B9341D"/>
    <w:rsid w:val="00B939EC"/>
    <w:rsid w:val="00B93BB2"/>
    <w:rsid w:val="00B949D2"/>
    <w:rsid w:val="00BA3017"/>
    <w:rsid w:val="00BA449C"/>
    <w:rsid w:val="00BA5F61"/>
    <w:rsid w:val="00BA76E3"/>
    <w:rsid w:val="00BB2BAD"/>
    <w:rsid w:val="00BB427B"/>
    <w:rsid w:val="00BB4793"/>
    <w:rsid w:val="00BB5CFF"/>
    <w:rsid w:val="00BC351D"/>
    <w:rsid w:val="00BC5475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926"/>
    <w:rsid w:val="00C32EDA"/>
    <w:rsid w:val="00C32FBB"/>
    <w:rsid w:val="00C36404"/>
    <w:rsid w:val="00C3736D"/>
    <w:rsid w:val="00C405B1"/>
    <w:rsid w:val="00C40EDE"/>
    <w:rsid w:val="00C419D8"/>
    <w:rsid w:val="00C428DC"/>
    <w:rsid w:val="00C4473C"/>
    <w:rsid w:val="00C465AD"/>
    <w:rsid w:val="00C5491C"/>
    <w:rsid w:val="00C55FC8"/>
    <w:rsid w:val="00C5686A"/>
    <w:rsid w:val="00C6279A"/>
    <w:rsid w:val="00C62B89"/>
    <w:rsid w:val="00C666F7"/>
    <w:rsid w:val="00C67C5B"/>
    <w:rsid w:val="00C70202"/>
    <w:rsid w:val="00C71330"/>
    <w:rsid w:val="00C74A06"/>
    <w:rsid w:val="00C75A3C"/>
    <w:rsid w:val="00C77E9C"/>
    <w:rsid w:val="00C832D7"/>
    <w:rsid w:val="00C91E79"/>
    <w:rsid w:val="00C93649"/>
    <w:rsid w:val="00C93CA0"/>
    <w:rsid w:val="00C95677"/>
    <w:rsid w:val="00C96D05"/>
    <w:rsid w:val="00C9747A"/>
    <w:rsid w:val="00CA1862"/>
    <w:rsid w:val="00CA702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3BF0"/>
    <w:rsid w:val="00D467B0"/>
    <w:rsid w:val="00D5030B"/>
    <w:rsid w:val="00D50AFA"/>
    <w:rsid w:val="00D51A3A"/>
    <w:rsid w:val="00D53318"/>
    <w:rsid w:val="00D57699"/>
    <w:rsid w:val="00D57704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2D27"/>
    <w:rsid w:val="00DC38C7"/>
    <w:rsid w:val="00DC531C"/>
    <w:rsid w:val="00DD16E7"/>
    <w:rsid w:val="00DD55EE"/>
    <w:rsid w:val="00DD6FDF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486F"/>
    <w:rsid w:val="00E25F1D"/>
    <w:rsid w:val="00E3339F"/>
    <w:rsid w:val="00E35FB9"/>
    <w:rsid w:val="00E365FF"/>
    <w:rsid w:val="00E400F3"/>
    <w:rsid w:val="00E42360"/>
    <w:rsid w:val="00E431E7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0F2"/>
    <w:rsid w:val="00E70442"/>
    <w:rsid w:val="00E72C2B"/>
    <w:rsid w:val="00E74DFA"/>
    <w:rsid w:val="00E774C7"/>
    <w:rsid w:val="00E80D23"/>
    <w:rsid w:val="00E82BCF"/>
    <w:rsid w:val="00E90428"/>
    <w:rsid w:val="00E90EE5"/>
    <w:rsid w:val="00E93CB5"/>
    <w:rsid w:val="00E952CB"/>
    <w:rsid w:val="00EA0F9D"/>
    <w:rsid w:val="00EA211B"/>
    <w:rsid w:val="00EA25D7"/>
    <w:rsid w:val="00EA4DCC"/>
    <w:rsid w:val="00EB74C8"/>
    <w:rsid w:val="00EC0921"/>
    <w:rsid w:val="00ED22B9"/>
    <w:rsid w:val="00ED3E0D"/>
    <w:rsid w:val="00EE09B6"/>
    <w:rsid w:val="00EF2D81"/>
    <w:rsid w:val="00EF4A79"/>
    <w:rsid w:val="00EF66B0"/>
    <w:rsid w:val="00EF6744"/>
    <w:rsid w:val="00EF7D59"/>
    <w:rsid w:val="00F00D3B"/>
    <w:rsid w:val="00F02952"/>
    <w:rsid w:val="00F032A8"/>
    <w:rsid w:val="00F105F7"/>
    <w:rsid w:val="00F14D22"/>
    <w:rsid w:val="00F15EDB"/>
    <w:rsid w:val="00F255B7"/>
    <w:rsid w:val="00F26B40"/>
    <w:rsid w:val="00F26CD1"/>
    <w:rsid w:val="00F275FD"/>
    <w:rsid w:val="00F27612"/>
    <w:rsid w:val="00F30C1E"/>
    <w:rsid w:val="00F32BE1"/>
    <w:rsid w:val="00F35DD0"/>
    <w:rsid w:val="00F362A7"/>
    <w:rsid w:val="00F419ED"/>
    <w:rsid w:val="00F42C3A"/>
    <w:rsid w:val="00F46908"/>
    <w:rsid w:val="00F47965"/>
    <w:rsid w:val="00F50614"/>
    <w:rsid w:val="00F5065C"/>
    <w:rsid w:val="00F52F6A"/>
    <w:rsid w:val="00F60650"/>
    <w:rsid w:val="00F62218"/>
    <w:rsid w:val="00F676C0"/>
    <w:rsid w:val="00F70D13"/>
    <w:rsid w:val="00F72668"/>
    <w:rsid w:val="00F7362C"/>
    <w:rsid w:val="00F73DCB"/>
    <w:rsid w:val="00F74632"/>
    <w:rsid w:val="00F74942"/>
    <w:rsid w:val="00F74EB3"/>
    <w:rsid w:val="00F77832"/>
    <w:rsid w:val="00F810AA"/>
    <w:rsid w:val="00F8141D"/>
    <w:rsid w:val="00F82AE8"/>
    <w:rsid w:val="00F83EB3"/>
    <w:rsid w:val="00F919B0"/>
    <w:rsid w:val="00F95D2E"/>
    <w:rsid w:val="00FA12AA"/>
    <w:rsid w:val="00FA1F9B"/>
    <w:rsid w:val="00FA38F2"/>
    <w:rsid w:val="00FA7597"/>
    <w:rsid w:val="00FC0A76"/>
    <w:rsid w:val="00FC214E"/>
    <w:rsid w:val="00FD605B"/>
    <w:rsid w:val="00FD7C9A"/>
    <w:rsid w:val="00FE0861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3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03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30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898</Words>
  <Characters>5119</Characters>
  <Application>Microsoft Office Word</Application>
  <DocSecurity>0</DocSecurity>
  <Lines>42</Lines>
  <Paragraphs>12</Paragraphs>
  <ScaleCrop>false</ScaleCrop>
  <Company>Royal Group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1</cp:revision>
  <dcterms:created xsi:type="dcterms:W3CDTF">2011-10-17T06:20:00Z</dcterms:created>
  <dcterms:modified xsi:type="dcterms:W3CDTF">2011-10-17T06:22:00Z</dcterms:modified>
</cp:coreProperties>
</file>